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3430" w14:textId="7C01483C" w:rsidR="00710972" w:rsidRPr="009E12FE" w:rsidRDefault="009E12FE" w:rsidP="0093103A">
      <w:pPr>
        <w:spacing w:line="240" w:lineRule="auto"/>
        <w:rPr>
          <w:rFonts w:ascii="Invesco Interstate Bold" w:hAnsi="Invesco Interstate Bold"/>
          <w:b/>
          <w:bCs/>
          <w:sz w:val="28"/>
          <w:szCs w:val="28"/>
        </w:rPr>
      </w:pPr>
      <w:proofErr w:type="spellStart"/>
      <w:r w:rsidRPr="009E12FE">
        <w:rPr>
          <w:rFonts w:ascii="Invesco Interstate Bold" w:hAnsi="Invesco Interstate Bold"/>
          <w:b/>
          <w:bCs/>
          <w:sz w:val="28"/>
          <w:szCs w:val="28"/>
        </w:rPr>
        <w:t>Invesco</w:t>
      </w:r>
      <w:proofErr w:type="spellEnd"/>
      <w:r w:rsidRPr="009E12FE">
        <w:rPr>
          <w:rFonts w:ascii="Invesco Interstate Bold" w:hAnsi="Invesco Interstate Bold"/>
          <w:b/>
          <w:bCs/>
          <w:sz w:val="28"/>
          <w:szCs w:val="28"/>
        </w:rPr>
        <w:t xml:space="preserve">: </w:t>
      </w:r>
      <w:r>
        <w:rPr>
          <w:rFonts w:ascii="Invesco Interstate Bold" w:hAnsi="Invesco Interstate Bold"/>
          <w:b/>
          <w:bCs/>
          <w:sz w:val="28"/>
          <w:szCs w:val="28"/>
        </w:rPr>
        <w:t>Evropský trh s </w:t>
      </w: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ETFky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 xml:space="preserve"> je nastartovaný na odpovědné investování</w:t>
      </w:r>
      <w:r w:rsidR="00710972" w:rsidRPr="009E12FE">
        <w:rPr>
          <w:rFonts w:ascii="Invesco Interstate Bold" w:hAnsi="Invesco Interstate Bold"/>
          <w:b/>
          <w:bCs/>
          <w:sz w:val="28"/>
          <w:szCs w:val="28"/>
        </w:rPr>
        <w:br/>
      </w:r>
    </w:p>
    <w:p w14:paraId="5741C8B8" w14:textId="56D2C6B2" w:rsidR="00F8766F" w:rsidRPr="009E12FE" w:rsidRDefault="009E12FE" w:rsidP="00F8766F">
      <w:pPr>
        <w:spacing w:line="276" w:lineRule="auto"/>
        <w:jc w:val="both"/>
        <w:rPr>
          <w:rFonts w:ascii="Invesco Interstate Bold" w:hAnsi="Invesco Interstate Bold"/>
          <w:b/>
          <w:bCs/>
          <w:sz w:val="24"/>
        </w:rPr>
      </w:pPr>
      <w:r>
        <w:rPr>
          <w:rFonts w:ascii="Invesco Interstate Bold" w:hAnsi="Invesco Interstate Bold"/>
          <w:b/>
          <w:bCs/>
          <w:sz w:val="24"/>
        </w:rPr>
        <w:t>Evropský trh s </w:t>
      </w:r>
      <w:proofErr w:type="spellStart"/>
      <w:r>
        <w:rPr>
          <w:rFonts w:ascii="Invesco Interstate Bold" w:hAnsi="Invesco Interstate Bold"/>
          <w:b/>
          <w:bCs/>
          <w:sz w:val="24"/>
        </w:rPr>
        <w:t>ETFky</w:t>
      </w:r>
      <w:proofErr w:type="spellEnd"/>
      <w:r>
        <w:rPr>
          <w:rFonts w:ascii="Invesco Interstate Bold" w:hAnsi="Invesco Interstate Bold"/>
          <w:b/>
          <w:bCs/>
          <w:sz w:val="24"/>
        </w:rPr>
        <w:t xml:space="preserve"> potřeboval jen něco málo přes 20 let, aby nashromáždil aktiva v hodnotě 1,2 bilionu liber v přibližně 2 000 fondech. Avšak jejich využívání </w:t>
      </w:r>
      <w:proofErr w:type="spellStart"/>
      <w:r>
        <w:rPr>
          <w:rFonts w:ascii="Invesco Interstate Bold" w:hAnsi="Invesco Interstate Bold"/>
          <w:b/>
          <w:bCs/>
          <w:sz w:val="24"/>
        </w:rPr>
        <w:t>asset</w:t>
      </w:r>
      <w:proofErr w:type="spellEnd"/>
      <w:r>
        <w:rPr>
          <w:rFonts w:ascii="Invesco Interstate Bold" w:hAnsi="Invesco Interstate Bold"/>
          <w:b/>
          <w:bCs/>
          <w:sz w:val="24"/>
        </w:rPr>
        <w:t xml:space="preserve"> manažery, finančními poradci a mladší generací soukromých investorů začalo nabírat na síle až v posledních několika letech. Investoři stále častěji zařazují ETF do svých portfolií, ať už kvůli diverzifikaci, přístupu k novým příležitostem nebo jednoduše kvůli snížení nákladů. Celá portfolia jsou nyní sestavována z ETF. Přesto vše nasvědčuje tomu, že se nacházíme v počátečních fázích růstu, přičemž průzkumy zdůrazňují nedostatečné porozumění jako důvod, proč mnoho investorů v současné době ETF nedrží. </w:t>
      </w:r>
    </w:p>
    <w:p w14:paraId="7E76A6B7" w14:textId="77777777" w:rsidR="00C87546" w:rsidRPr="004E3E12" w:rsidRDefault="00C87546" w:rsidP="009004A9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06279B2E" w14:textId="77777777" w:rsidR="009E12FE" w:rsidRPr="009E12FE" w:rsidRDefault="009E12FE" w:rsidP="009E12FE">
      <w:pPr>
        <w:pStyle w:val="xmsonormal"/>
        <w:spacing w:line="276" w:lineRule="auto"/>
        <w:jc w:val="both"/>
        <w:rPr>
          <w:rFonts w:ascii="Invesco Interstate Light" w:eastAsiaTheme="minorEastAsia" w:hAnsi="Invesco Interstate Light" w:cs="Times New Roman"/>
          <w:lang w:eastAsia="de-DE"/>
        </w:rPr>
      </w:pPr>
      <w:r w:rsidRPr="009E12FE">
        <w:rPr>
          <w:rFonts w:ascii="Invesco Interstate Light" w:eastAsiaTheme="minorEastAsia" w:hAnsi="Invesco Interstate Light" w:cs="Times New Roman"/>
          <w:lang w:eastAsia="de-DE"/>
        </w:rPr>
        <w:t>ETF jsou nyní k dispozici prakticky pro jakoukoli expozici, kterou si můžete přát, a můžete je nakupovat a prodávat skoro na všech investičních platformách a obchodních aplikacích. Právě absence na investičních platformách byla v minulosti pro mnoho poradců a správců majetku největší překážkou v rozšíření ETF.</w:t>
      </w:r>
    </w:p>
    <w:p w14:paraId="575BEB4C" w14:textId="77777777" w:rsidR="009E12FE" w:rsidRPr="009E12FE" w:rsidRDefault="009E12FE" w:rsidP="009E12FE">
      <w:pPr>
        <w:pStyle w:val="xmsonormal"/>
        <w:spacing w:line="276" w:lineRule="auto"/>
        <w:jc w:val="both"/>
        <w:rPr>
          <w:rFonts w:ascii="Invesco Interstate Light" w:eastAsiaTheme="minorEastAsia" w:hAnsi="Invesco Interstate Light" w:cs="Times New Roman"/>
          <w:lang w:eastAsia="de-DE"/>
        </w:rPr>
      </w:pPr>
      <w:r w:rsidRPr="009E12FE">
        <w:rPr>
          <w:rFonts w:ascii="Invesco Interstate Light" w:eastAsiaTheme="minorEastAsia" w:hAnsi="Invesco Interstate Light" w:cs="Times New Roman"/>
          <w:lang w:eastAsia="de-DE"/>
        </w:rPr>
        <w:t xml:space="preserve">Z našich zkušeností vyplývá, že většinu investorů zpočátku přitahují ETF kvůli schopnosti poskytovat nízkonákladové a vysoce spolehlivé sledování základních benchmarků. Na trhu ETF stále převládají taková sledující S&amp;P 500 a MSCI </w:t>
      </w:r>
      <w:proofErr w:type="spellStart"/>
      <w:r w:rsidRPr="009E12FE">
        <w:rPr>
          <w:rFonts w:ascii="Invesco Interstate Light" w:eastAsiaTheme="minorEastAsia" w:hAnsi="Invesco Interstate Light" w:cs="Times New Roman"/>
          <w:lang w:eastAsia="de-DE"/>
        </w:rPr>
        <w:t>World</w:t>
      </w:r>
      <w:proofErr w:type="spellEnd"/>
      <w:r w:rsidRPr="009E12FE">
        <w:rPr>
          <w:rFonts w:ascii="Invesco Interstate Light" w:eastAsiaTheme="minorEastAsia" w:hAnsi="Invesco Interstate Light" w:cs="Times New Roman"/>
          <w:lang w:eastAsia="de-DE"/>
        </w:rPr>
        <w:t>, a to jak z hlediska počtu produktů, tak z hlediska objemu aktiv. Roste však poptávka po expozici vůči dalším třídám aktiv a indexům. Jednou z takových oblastí jsou nástroje s pevným příjmem, což nyní představuje přibližně čtvrtinu aktiv ETF (akcie tvoří necelých 70 % a zbytek komodity). Poptávka po pevném výnosu vznikla díky investorům, kteří hledali dodatečný výnos v době, kdy byly sazby nulové, a upravovali duraci a úvěrové expozice během cyklu zpřísňování sazeb.</w:t>
      </w:r>
    </w:p>
    <w:p w14:paraId="002A0CCA" w14:textId="77777777" w:rsidR="00ED2E8B" w:rsidRPr="00D370D5" w:rsidRDefault="00ED2E8B" w:rsidP="00ED2E8B">
      <w:pPr>
        <w:pStyle w:val="xmsonormal"/>
        <w:spacing w:line="276" w:lineRule="auto"/>
        <w:jc w:val="both"/>
      </w:pPr>
      <w:r w:rsidRPr="00D370D5">
        <w:t>Nejdominantnějším tématem nyní je ESG, které v posledních několika letech představovalo přibližně 50 % celkového čistého přílivu. Poptávka se týkala jak akciových expozic, tak expozic s pevným výnosem, a to od prostého vyloučení aktiv, které nepodporovaly ESG přes nejpřísnější přístupy v jednotlivých třídách aktiv až po novější strategie zaměřené na klima. Vzhledem k tomu, že na trhu existuje tak široká škála možností, do kterých mohou investoři investovat, snažíme se objasnit, čeho chtějí naše jednotlivé fondy dosáhnout z hlediska finanční výkonnosti a cílů ESG. To investorům umožní najít ETF, které nejlépe odpovídá zase jejich cílům. </w:t>
      </w:r>
    </w:p>
    <w:p w14:paraId="1886A8E2" w14:textId="599BE0F5" w:rsidR="00ED2E8B" w:rsidRPr="00ED2E8B" w:rsidRDefault="00ED2E8B" w:rsidP="00ED2E8B">
      <w:pPr>
        <w:spacing w:line="240" w:lineRule="auto"/>
        <w:jc w:val="both"/>
        <w:rPr>
          <w:rFonts w:ascii="Calibri" w:eastAsiaTheme="minorHAnsi" w:hAnsi="Calibri" w:cs="Calibri"/>
          <w:sz w:val="22"/>
          <w:szCs w:val="22"/>
          <w:lang w:eastAsia="cs-CZ"/>
        </w:rPr>
      </w:pPr>
      <w:r w:rsidRPr="00ED2E8B">
        <w:rPr>
          <w:rFonts w:ascii="Calibri" w:eastAsiaTheme="minorHAnsi" w:hAnsi="Calibri" w:cs="Calibri"/>
          <w:i/>
          <w:iCs/>
          <w:sz w:val="22"/>
          <w:szCs w:val="22"/>
          <w:lang w:eastAsia="cs-CZ"/>
        </w:rPr>
        <w:t> </w:t>
      </w:r>
      <w:r w:rsidRPr="00ED2E8B">
        <w:rPr>
          <w:rFonts w:ascii="Calibri" w:eastAsiaTheme="minorHAnsi" w:hAnsi="Calibri" w:cs="Calibri"/>
          <w:i/>
          <w:iCs/>
          <w:sz w:val="22"/>
          <w:szCs w:val="22"/>
          <w:lang w:eastAsia="cs-CZ"/>
        </w:rPr>
        <w:t>„</w:t>
      </w:r>
      <w:r w:rsidRPr="00ED2E8B">
        <w:rPr>
          <w:rFonts w:ascii="Calibri" w:eastAsiaTheme="minorHAnsi" w:hAnsi="Calibri" w:cs="Calibri"/>
          <w:i/>
          <w:iCs/>
          <w:sz w:val="22"/>
          <w:szCs w:val="22"/>
          <w:lang w:eastAsia="cs-CZ"/>
        </w:rPr>
        <w:t xml:space="preserve">V </w:t>
      </w:r>
      <w:proofErr w:type="spellStart"/>
      <w:r w:rsidRPr="00ED2E8B">
        <w:rPr>
          <w:rFonts w:ascii="Calibri" w:eastAsiaTheme="minorHAnsi" w:hAnsi="Calibri" w:cs="Calibri"/>
          <w:i/>
          <w:iCs/>
          <w:sz w:val="22"/>
          <w:szCs w:val="22"/>
          <w:lang w:eastAsia="cs-CZ"/>
        </w:rPr>
        <w:t>Invescu</w:t>
      </w:r>
      <w:proofErr w:type="spellEnd"/>
      <w:r w:rsidRPr="00ED2E8B">
        <w:rPr>
          <w:rFonts w:ascii="Calibri" w:eastAsiaTheme="minorHAnsi" w:hAnsi="Calibri" w:cs="Calibri"/>
          <w:i/>
          <w:iCs/>
          <w:sz w:val="22"/>
          <w:szCs w:val="22"/>
          <w:lang w:eastAsia="cs-CZ"/>
        </w:rPr>
        <w:t xml:space="preserve"> věříme, že ETF budou hrát v portfoliích investorů stále důležitější roli, ať už bude tržní prostředí jakékoli, protože prokázala svou odolnost v nestabilních podmínkách. Od začátku roku se zvýšila poptávka po expozici k Nasdaq-100, často je to bráno jako alternativa k S&amp;P 500, a pokračuje poptávka po expozici vůči MSCI </w:t>
      </w:r>
      <w:proofErr w:type="spellStart"/>
      <w:r w:rsidRPr="00ED2E8B">
        <w:rPr>
          <w:rFonts w:ascii="Calibri" w:eastAsiaTheme="minorHAnsi" w:hAnsi="Calibri" w:cs="Calibri"/>
          <w:i/>
          <w:iCs/>
          <w:sz w:val="22"/>
          <w:szCs w:val="22"/>
          <w:lang w:eastAsia="cs-CZ"/>
        </w:rPr>
        <w:t>World</w:t>
      </w:r>
      <w:proofErr w:type="spellEnd"/>
      <w:r w:rsidRPr="00ED2E8B">
        <w:rPr>
          <w:rFonts w:ascii="Calibri" w:eastAsiaTheme="minorHAnsi" w:hAnsi="Calibri" w:cs="Calibri"/>
          <w:i/>
          <w:iCs/>
          <w:sz w:val="22"/>
          <w:szCs w:val="22"/>
          <w:lang w:eastAsia="cs-CZ"/>
        </w:rPr>
        <w:t xml:space="preserve"> a rozvíjejícím se trhům,</w:t>
      </w:r>
      <w:r w:rsidRPr="00ED2E8B">
        <w:rPr>
          <w:rFonts w:ascii="Calibri" w:eastAsiaTheme="minorHAnsi" w:hAnsi="Calibri" w:cs="Calibri"/>
          <w:i/>
          <w:iCs/>
          <w:sz w:val="22"/>
          <w:szCs w:val="22"/>
          <w:lang w:eastAsia="cs-CZ"/>
        </w:rPr>
        <w:t>“</w:t>
      </w:r>
      <w:r w:rsidRPr="00ED2E8B">
        <w:rPr>
          <w:rFonts w:ascii="Calibri" w:eastAsiaTheme="minorHAnsi" w:hAnsi="Calibri" w:cs="Calibri"/>
          <w:i/>
          <w:iCs/>
          <w:sz w:val="22"/>
          <w:szCs w:val="22"/>
          <w:lang w:eastAsia="cs-CZ"/>
        </w:rPr>
        <w:t xml:space="preserve"> </w:t>
      </w:r>
      <w:r w:rsidRPr="00ED2E8B">
        <w:rPr>
          <w:rFonts w:ascii="Calibri" w:eastAsiaTheme="minorHAnsi" w:hAnsi="Calibri" w:cs="Calibri"/>
          <w:sz w:val="22"/>
          <w:szCs w:val="22"/>
          <w:lang w:eastAsia="cs-CZ"/>
        </w:rPr>
        <w:t xml:space="preserve">vysvětluje Eva </w:t>
      </w:r>
      <w:proofErr w:type="spellStart"/>
      <w:r w:rsidRPr="00ED2E8B">
        <w:rPr>
          <w:rFonts w:ascii="Calibri" w:eastAsiaTheme="minorHAnsi" w:hAnsi="Calibri" w:cs="Calibri"/>
          <w:sz w:val="22"/>
          <w:szCs w:val="22"/>
          <w:lang w:eastAsia="cs-CZ"/>
        </w:rPr>
        <w:t>Miklášová</w:t>
      </w:r>
      <w:proofErr w:type="spellEnd"/>
      <w:r w:rsidRPr="00ED2E8B">
        <w:rPr>
          <w:rFonts w:ascii="Calibri" w:eastAsiaTheme="minorHAnsi" w:hAnsi="Calibri" w:cs="Calibri"/>
          <w:sz w:val="22"/>
          <w:szCs w:val="22"/>
          <w:lang w:eastAsia="cs-CZ"/>
        </w:rPr>
        <w:t xml:space="preserve">, ředitelka oddělení ETF pro Rakousko a střední a východní Evropu ve společnosti </w:t>
      </w:r>
      <w:proofErr w:type="spellStart"/>
      <w:r w:rsidRPr="00ED2E8B">
        <w:rPr>
          <w:rFonts w:ascii="Calibri" w:eastAsiaTheme="minorHAnsi" w:hAnsi="Calibri" w:cs="Calibri"/>
          <w:sz w:val="22"/>
          <w:szCs w:val="22"/>
          <w:lang w:eastAsia="cs-CZ"/>
        </w:rPr>
        <w:t>Invesco</w:t>
      </w:r>
      <w:proofErr w:type="spellEnd"/>
      <w:r w:rsidRPr="00ED2E8B">
        <w:rPr>
          <w:rFonts w:ascii="Calibri" w:eastAsiaTheme="minorHAnsi" w:hAnsi="Calibri" w:cs="Calibri"/>
          <w:sz w:val="22"/>
          <w:szCs w:val="22"/>
          <w:lang w:eastAsia="cs-CZ"/>
        </w:rPr>
        <w:t xml:space="preserve">. </w:t>
      </w:r>
    </w:p>
    <w:p w14:paraId="78A96ACA" w14:textId="08F09351" w:rsidR="00ED2E8B" w:rsidRPr="00ED2E8B" w:rsidRDefault="00ED2E8B" w:rsidP="00ED2E8B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cs-CZ"/>
        </w:rPr>
      </w:pPr>
      <w:r>
        <w:rPr>
          <w:rFonts w:ascii="Invesco Interstate Light" w:eastAsiaTheme="minorEastAsia" w:hAnsi="Invesco Interstate Light"/>
          <w:sz w:val="22"/>
          <w:szCs w:val="22"/>
        </w:rPr>
        <w:br/>
      </w:r>
      <w:r w:rsidRPr="00ED2E8B">
        <w:rPr>
          <w:rFonts w:ascii="Calibri" w:eastAsiaTheme="minorHAnsi" w:hAnsi="Calibri" w:cs="Calibri"/>
          <w:sz w:val="22"/>
          <w:szCs w:val="22"/>
          <w:lang w:eastAsia="cs-CZ"/>
        </w:rPr>
        <w:t xml:space="preserve">Mnozí investoři také využívají sektorové ETF k taktickým úpravám portfolií jako způsob vyjádření názoru na trh. V oblasti pevných výnosů by podle našeho názoru měli investoři i nadále využívat ETF pro nízkonákladový a likvidní přístup k vybraným státním dluhopisům, úvěrům investičního stupně nebo trhům s vysokými výnosy, a to v závislosti na tom, jak se bude v nadcházejících měsících vyvíjet výhled sazeb a výnosových </w:t>
      </w:r>
      <w:r w:rsidRPr="00ED2E8B">
        <w:rPr>
          <w:rFonts w:ascii="Calibri" w:eastAsiaTheme="minorHAnsi" w:hAnsi="Calibri" w:cs="Calibri"/>
          <w:sz w:val="22"/>
          <w:szCs w:val="22"/>
          <w:lang w:eastAsia="cs-CZ"/>
        </w:rPr>
        <w:lastRenderedPageBreak/>
        <w:t>křivek. V portfoliích by se mohlo objevit také zlato, a to z důvodu diverzifikace a pro všechny, kteří se obávají ekonomických nebo geopolitických rizik.</w:t>
      </w:r>
    </w:p>
    <w:p w14:paraId="5C40DAF7" w14:textId="77777777" w:rsidR="00A06EC4" w:rsidRPr="00ED2E8B" w:rsidRDefault="00A06EC4" w:rsidP="00ED2E8B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cs-CZ"/>
        </w:rPr>
      </w:pPr>
    </w:p>
    <w:p w14:paraId="5A258312" w14:textId="77777777" w:rsidR="00B15E12" w:rsidRDefault="00B15E12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2ACEA8F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79AC42E6" w:rsidR="00497B07" w:rsidRPr="00873CBF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13D85258" w14:textId="53B13E5C" w:rsidR="005E7425" w:rsidRPr="00ED2E8B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460C3862" w14:textId="77777777" w:rsidR="005E7425" w:rsidRDefault="005E742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BF77D56" w14:textId="6CDBC47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0BFCDFE" w14:textId="31E2CEBE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AC00E0C" w14:textId="77777777" w:rsidR="002355DD" w:rsidRPr="00873CBF" w:rsidRDefault="002355DD" w:rsidP="002355DD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4E7D96B" w14:textId="77777777" w:rsidR="002355DD" w:rsidRPr="00873CBF" w:rsidRDefault="002355DD" w:rsidP="002355DD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22D43DA7" w14:textId="77777777" w:rsidR="002355DD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522BD275" w14:textId="77777777" w:rsidR="003049E9" w:rsidRPr="00873CBF" w:rsidRDefault="003049E9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D735BC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6DF9" w14:textId="77777777" w:rsidR="00294760" w:rsidRDefault="00294760">
      <w:r>
        <w:separator/>
      </w:r>
    </w:p>
  </w:endnote>
  <w:endnote w:type="continuationSeparator" w:id="0">
    <w:p w14:paraId="68ACBA60" w14:textId="77777777" w:rsidR="00294760" w:rsidRDefault="00294760">
      <w:r>
        <w:continuationSeparator/>
      </w:r>
    </w:p>
  </w:endnote>
  <w:endnote w:type="continuationNotice" w:id="1">
    <w:p w14:paraId="7DE745FB" w14:textId="77777777" w:rsidR="00294760" w:rsidRDefault="002947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6B81" w14:textId="77777777" w:rsidR="00294760" w:rsidRDefault="00294760">
      <w:r>
        <w:separator/>
      </w:r>
    </w:p>
  </w:footnote>
  <w:footnote w:type="continuationSeparator" w:id="0">
    <w:p w14:paraId="79BFAF83" w14:textId="77777777" w:rsidR="00294760" w:rsidRDefault="00294760">
      <w:r>
        <w:continuationSeparator/>
      </w:r>
    </w:p>
  </w:footnote>
  <w:footnote w:type="continuationNotice" w:id="1">
    <w:p w14:paraId="7B17DC0F" w14:textId="77777777" w:rsidR="00294760" w:rsidRDefault="002947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39733F94" w:rsidR="00702C33" w:rsidRPr="000730A6" w:rsidRDefault="009E12FE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  <w:r>
      <w:rPr>
        <w:color w:val="000000"/>
        <w:sz w:val="23"/>
        <w:szCs w:val="23"/>
      </w:rPr>
      <w:t>25</w:t>
    </w:r>
    <w:r w:rsidR="0093103A">
      <w:rPr>
        <w:color w:val="000000"/>
        <w:sz w:val="23"/>
        <w:szCs w:val="23"/>
      </w:rPr>
      <w:t>.</w:t>
    </w:r>
    <w:r w:rsidR="00ED2E8B">
      <w:rPr>
        <w:color w:val="000000"/>
        <w:sz w:val="23"/>
        <w:szCs w:val="23"/>
      </w:rPr>
      <w:t>08.</w:t>
    </w:r>
    <w:r w:rsidR="0093103A">
      <w:rPr>
        <w:color w:val="000000"/>
        <w:sz w:val="23"/>
        <w:szCs w:val="23"/>
      </w:rPr>
      <w:t>202</w:t>
    </w:r>
    <w:r w:rsidR="00C87546">
      <w:rPr>
        <w:color w:val="000000"/>
        <w:sz w:val="23"/>
        <w:szCs w:val="23"/>
      </w:rPr>
      <w:t>3</w:t>
    </w: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0C914F4B"/>
    <w:multiLevelType w:val="hybridMultilevel"/>
    <w:tmpl w:val="4FA4C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745F"/>
    <w:multiLevelType w:val="hybridMultilevel"/>
    <w:tmpl w:val="17CAD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7674B"/>
    <w:multiLevelType w:val="hybridMultilevel"/>
    <w:tmpl w:val="074C6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F74CF"/>
    <w:multiLevelType w:val="hybridMultilevel"/>
    <w:tmpl w:val="D818D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3068D"/>
    <w:multiLevelType w:val="hybridMultilevel"/>
    <w:tmpl w:val="A5228DA0"/>
    <w:lvl w:ilvl="0" w:tplc="19C63B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E7D07"/>
    <w:multiLevelType w:val="multilevel"/>
    <w:tmpl w:val="9510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46D70"/>
    <w:multiLevelType w:val="multilevel"/>
    <w:tmpl w:val="11820CCE"/>
    <w:numStyleLink w:val="FormatvorlageAufgezhlt"/>
  </w:abstractNum>
  <w:abstractNum w:abstractNumId="13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30B23"/>
    <w:multiLevelType w:val="multilevel"/>
    <w:tmpl w:val="11820CCE"/>
    <w:numStyleLink w:val="FormatvorlageAufgezhlt"/>
  </w:abstractNum>
  <w:abstractNum w:abstractNumId="16" w15:restartNumberingAfterBreak="0">
    <w:nsid w:val="57FB6EB0"/>
    <w:multiLevelType w:val="hybridMultilevel"/>
    <w:tmpl w:val="33F83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403C3"/>
    <w:multiLevelType w:val="multilevel"/>
    <w:tmpl w:val="11820CCE"/>
    <w:numStyleLink w:val="FormatvorlageAufgezhlt"/>
  </w:abstractNum>
  <w:abstractNum w:abstractNumId="21" w15:restartNumberingAfterBreak="0">
    <w:nsid w:val="6C6C4721"/>
    <w:multiLevelType w:val="multilevel"/>
    <w:tmpl w:val="11820CCE"/>
    <w:numStyleLink w:val="FormatvorlageAufgezhlt"/>
  </w:abstractNum>
  <w:abstractNum w:abstractNumId="22" w15:restartNumberingAfterBreak="0">
    <w:nsid w:val="74E5380B"/>
    <w:multiLevelType w:val="multilevel"/>
    <w:tmpl w:val="11820CCE"/>
    <w:numStyleLink w:val="FormatvorlageAufgezhlt"/>
  </w:abstractNum>
  <w:abstractNum w:abstractNumId="23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727549">
    <w:abstractNumId w:val="0"/>
  </w:num>
  <w:num w:numId="2" w16cid:durableId="1756514422">
    <w:abstractNumId w:val="13"/>
  </w:num>
  <w:num w:numId="3" w16cid:durableId="1018385507">
    <w:abstractNumId w:val="18"/>
  </w:num>
  <w:num w:numId="4" w16cid:durableId="1827627993">
    <w:abstractNumId w:val="14"/>
  </w:num>
  <w:num w:numId="5" w16cid:durableId="1045980682">
    <w:abstractNumId w:val="15"/>
  </w:num>
  <w:num w:numId="6" w16cid:durableId="233898162">
    <w:abstractNumId w:val="20"/>
  </w:num>
  <w:num w:numId="7" w16cid:durableId="354037280">
    <w:abstractNumId w:val="21"/>
  </w:num>
  <w:num w:numId="8" w16cid:durableId="1069617806">
    <w:abstractNumId w:val="1"/>
  </w:num>
  <w:num w:numId="9" w16cid:durableId="846021257">
    <w:abstractNumId w:val="22"/>
  </w:num>
  <w:num w:numId="10" w16cid:durableId="1441952391">
    <w:abstractNumId w:val="12"/>
  </w:num>
  <w:num w:numId="11" w16cid:durableId="201014381">
    <w:abstractNumId w:val="3"/>
  </w:num>
  <w:num w:numId="12" w16cid:durableId="1103376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9319395">
    <w:abstractNumId w:val="23"/>
  </w:num>
  <w:num w:numId="14" w16cid:durableId="1040126726">
    <w:abstractNumId w:val="24"/>
  </w:num>
  <w:num w:numId="15" w16cid:durableId="638264912">
    <w:abstractNumId w:val="17"/>
  </w:num>
  <w:num w:numId="16" w16cid:durableId="2042582474">
    <w:abstractNumId w:val="6"/>
  </w:num>
  <w:num w:numId="17" w16cid:durableId="2024210764">
    <w:abstractNumId w:val="2"/>
  </w:num>
  <w:num w:numId="18" w16cid:durableId="1690450397">
    <w:abstractNumId w:val="19"/>
  </w:num>
  <w:num w:numId="19" w16cid:durableId="930966678">
    <w:abstractNumId w:val="4"/>
  </w:num>
  <w:num w:numId="20" w16cid:durableId="60954917">
    <w:abstractNumId w:val="16"/>
  </w:num>
  <w:num w:numId="21" w16cid:durableId="1633557468">
    <w:abstractNumId w:val="10"/>
  </w:num>
  <w:num w:numId="22" w16cid:durableId="286203332">
    <w:abstractNumId w:val="9"/>
  </w:num>
  <w:num w:numId="23" w16cid:durableId="859584248">
    <w:abstractNumId w:val="5"/>
  </w:num>
  <w:num w:numId="24" w16cid:durableId="1855726568">
    <w:abstractNumId w:val="8"/>
  </w:num>
  <w:num w:numId="25" w16cid:durableId="1400903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3423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175F7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3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05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41B"/>
    <w:rsid w:val="0008579B"/>
    <w:rsid w:val="0008583B"/>
    <w:rsid w:val="000862B0"/>
    <w:rsid w:val="000863BA"/>
    <w:rsid w:val="00086595"/>
    <w:rsid w:val="00087620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56E3"/>
    <w:rsid w:val="000B661C"/>
    <w:rsid w:val="000B6BBB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DC9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623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911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6492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0F5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A45"/>
    <w:rsid w:val="001F1B3D"/>
    <w:rsid w:val="001F270E"/>
    <w:rsid w:val="001F3075"/>
    <w:rsid w:val="001F33E0"/>
    <w:rsid w:val="001F33EA"/>
    <w:rsid w:val="001F3A5E"/>
    <w:rsid w:val="001F3CDA"/>
    <w:rsid w:val="001F40E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2A9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078"/>
    <w:rsid w:val="00224246"/>
    <w:rsid w:val="00225C04"/>
    <w:rsid w:val="00225C5B"/>
    <w:rsid w:val="0022676E"/>
    <w:rsid w:val="002276D6"/>
    <w:rsid w:val="00227E13"/>
    <w:rsid w:val="0023142E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0F35"/>
    <w:rsid w:val="00251565"/>
    <w:rsid w:val="002515A2"/>
    <w:rsid w:val="00252413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4760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2934"/>
    <w:rsid w:val="00303ABA"/>
    <w:rsid w:val="003049E9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5A36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3DE"/>
    <w:rsid w:val="003C384D"/>
    <w:rsid w:val="003C4187"/>
    <w:rsid w:val="003C4BC7"/>
    <w:rsid w:val="003C5061"/>
    <w:rsid w:val="003C520C"/>
    <w:rsid w:val="003C5BE1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A37"/>
    <w:rsid w:val="00406EB1"/>
    <w:rsid w:val="00410B5B"/>
    <w:rsid w:val="00411B58"/>
    <w:rsid w:val="00412187"/>
    <w:rsid w:val="00412400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29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1BA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4D90"/>
    <w:rsid w:val="00455C75"/>
    <w:rsid w:val="0046020E"/>
    <w:rsid w:val="0046076E"/>
    <w:rsid w:val="00460A9E"/>
    <w:rsid w:val="00461115"/>
    <w:rsid w:val="00461AAC"/>
    <w:rsid w:val="004622EF"/>
    <w:rsid w:val="00462335"/>
    <w:rsid w:val="004625CF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285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D7BF5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3F36"/>
    <w:rsid w:val="00514A3E"/>
    <w:rsid w:val="00514C4E"/>
    <w:rsid w:val="00514EF9"/>
    <w:rsid w:val="005150EA"/>
    <w:rsid w:val="005152A6"/>
    <w:rsid w:val="00521200"/>
    <w:rsid w:val="00521BDC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6C"/>
    <w:rsid w:val="005307B4"/>
    <w:rsid w:val="005317E5"/>
    <w:rsid w:val="0053211A"/>
    <w:rsid w:val="00532414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4C4"/>
    <w:rsid w:val="00544FF6"/>
    <w:rsid w:val="00545D9B"/>
    <w:rsid w:val="0054680C"/>
    <w:rsid w:val="00546EA4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4506"/>
    <w:rsid w:val="005A61C8"/>
    <w:rsid w:val="005A66E6"/>
    <w:rsid w:val="005A681A"/>
    <w:rsid w:val="005A7016"/>
    <w:rsid w:val="005A7032"/>
    <w:rsid w:val="005A7C3F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56AE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425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710"/>
    <w:rsid w:val="006448B1"/>
    <w:rsid w:val="00644E4D"/>
    <w:rsid w:val="006454BB"/>
    <w:rsid w:val="00645A0B"/>
    <w:rsid w:val="0064735F"/>
    <w:rsid w:val="00647DC0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6335"/>
    <w:rsid w:val="0069645C"/>
    <w:rsid w:val="0069693B"/>
    <w:rsid w:val="00696F88"/>
    <w:rsid w:val="00697043"/>
    <w:rsid w:val="006A02AD"/>
    <w:rsid w:val="006A200C"/>
    <w:rsid w:val="006A27C8"/>
    <w:rsid w:val="006A368F"/>
    <w:rsid w:val="006A41A8"/>
    <w:rsid w:val="006A433E"/>
    <w:rsid w:val="006A474C"/>
    <w:rsid w:val="006A4753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A97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0FFB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0972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C24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2791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25F0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4AC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60260"/>
    <w:rsid w:val="00860510"/>
    <w:rsid w:val="00860B32"/>
    <w:rsid w:val="00860F0D"/>
    <w:rsid w:val="00860F0F"/>
    <w:rsid w:val="00860F8C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B8"/>
    <w:rsid w:val="00883003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3FD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2E46"/>
    <w:rsid w:val="008B3519"/>
    <w:rsid w:val="008B48F5"/>
    <w:rsid w:val="008B526F"/>
    <w:rsid w:val="008B5FFE"/>
    <w:rsid w:val="008B60AD"/>
    <w:rsid w:val="008B6191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4A9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103A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5B1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C39"/>
    <w:rsid w:val="00964FA0"/>
    <w:rsid w:val="009655BB"/>
    <w:rsid w:val="00965662"/>
    <w:rsid w:val="0096587B"/>
    <w:rsid w:val="00965972"/>
    <w:rsid w:val="00965B85"/>
    <w:rsid w:val="00965CC9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37F8"/>
    <w:rsid w:val="009D484D"/>
    <w:rsid w:val="009D5CD2"/>
    <w:rsid w:val="009D7140"/>
    <w:rsid w:val="009E0BD5"/>
    <w:rsid w:val="009E12FE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6EC4"/>
    <w:rsid w:val="00A07EAF"/>
    <w:rsid w:val="00A1029D"/>
    <w:rsid w:val="00A11805"/>
    <w:rsid w:val="00A1295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0E70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372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8E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4A1"/>
    <w:rsid w:val="00AC257A"/>
    <w:rsid w:val="00AC2FEF"/>
    <w:rsid w:val="00AC371C"/>
    <w:rsid w:val="00AC378B"/>
    <w:rsid w:val="00AC3AFB"/>
    <w:rsid w:val="00AC4492"/>
    <w:rsid w:val="00AC48D3"/>
    <w:rsid w:val="00AC4BCC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1BFF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5E12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49"/>
    <w:rsid w:val="00B457B9"/>
    <w:rsid w:val="00B4653C"/>
    <w:rsid w:val="00B469F6"/>
    <w:rsid w:val="00B4705F"/>
    <w:rsid w:val="00B4796E"/>
    <w:rsid w:val="00B50104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9B6"/>
    <w:rsid w:val="00B72F68"/>
    <w:rsid w:val="00B74005"/>
    <w:rsid w:val="00B7482D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0F2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0CE5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5CA2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282B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46A6"/>
    <w:rsid w:val="00C85D47"/>
    <w:rsid w:val="00C85FA9"/>
    <w:rsid w:val="00C867D8"/>
    <w:rsid w:val="00C86E2C"/>
    <w:rsid w:val="00C8706A"/>
    <w:rsid w:val="00C8749B"/>
    <w:rsid w:val="00C87546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444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5243"/>
    <w:rsid w:val="00D85BA1"/>
    <w:rsid w:val="00D86001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59C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2BC"/>
    <w:rsid w:val="00DD4902"/>
    <w:rsid w:val="00DD503D"/>
    <w:rsid w:val="00DD53AA"/>
    <w:rsid w:val="00DD5D72"/>
    <w:rsid w:val="00DD6036"/>
    <w:rsid w:val="00DD6ADC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0E63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E86"/>
    <w:rsid w:val="00EB23B5"/>
    <w:rsid w:val="00EB34CC"/>
    <w:rsid w:val="00EB3B0C"/>
    <w:rsid w:val="00EB3F55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0F11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E8B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18C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2D7F"/>
    <w:rsid w:val="00F83AEB"/>
    <w:rsid w:val="00F83E0A"/>
    <w:rsid w:val="00F84A9B"/>
    <w:rsid w:val="00F854D0"/>
    <w:rsid w:val="00F85574"/>
    <w:rsid w:val="00F85739"/>
    <w:rsid w:val="00F86483"/>
    <w:rsid w:val="00F8659D"/>
    <w:rsid w:val="00F86E9F"/>
    <w:rsid w:val="00F872AC"/>
    <w:rsid w:val="00F8735E"/>
    <w:rsid w:val="00F8762E"/>
    <w:rsid w:val="00F8766F"/>
    <w:rsid w:val="00F8789C"/>
    <w:rsid w:val="00F87CFC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CC2"/>
    <w:rsid w:val="00FF069C"/>
    <w:rsid w:val="00FF0F56"/>
    <w:rsid w:val="00FF10D9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8766F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9E12FE"/>
    <w:pPr>
      <w:spacing w:after="160" w:line="252" w:lineRule="auto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41AA25-F835-462F-A4A6-BED420410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2023-08-25T08:04:00Z</dcterms:created>
  <dcterms:modified xsi:type="dcterms:W3CDTF">2023-08-25T08:04:00Z</dcterms:modified>
</cp:coreProperties>
</file>